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7C" w:rsidRDefault="009D6A7C" w:rsidP="009D6A7C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u w:val="single"/>
        </w:rPr>
        <w:t>IMPACT ON THE ENVIRONMENT</w:t>
      </w:r>
      <w:r w:rsidRPr="00FC7572">
        <w:rPr>
          <w:rFonts w:ascii="Calibri" w:hAnsi="Calibri" w:cs="Calibri"/>
          <w:b/>
          <w:sz w:val="28"/>
        </w:rPr>
        <w:t xml:space="preserve"> </w:t>
      </w:r>
      <w:bookmarkStart w:id="0" w:name="_GoBack"/>
      <w:bookmarkEnd w:id="0"/>
      <w:r w:rsidRPr="00FD2A62">
        <w:rPr>
          <w:rFonts w:ascii="Calibri" w:hAnsi="Calibri" w:cs="Calibri"/>
          <w:b/>
          <w:sz w:val="28"/>
        </w:rPr>
        <w:t xml:space="preserve">  </w:t>
      </w:r>
      <w:r>
        <w:rPr>
          <w:rFonts w:ascii="Calibri" w:hAnsi="Calibri" w:cs="Calibri"/>
          <w:b/>
          <w:sz w:val="28"/>
        </w:rPr>
        <w:t xml:space="preserve">     </w:t>
      </w:r>
      <w:r w:rsidRPr="00FD2A62">
        <w:rPr>
          <w:rFonts w:ascii="Calibri" w:hAnsi="Calibri" w:cs="Calibri"/>
          <w:b/>
          <w:sz w:val="28"/>
        </w:rPr>
        <w:t xml:space="preserve">                </w:t>
      </w:r>
      <w:r>
        <w:rPr>
          <w:rFonts w:ascii="Calibri" w:hAnsi="Calibri" w:cs="Calibri"/>
          <w:b/>
          <w:sz w:val="28"/>
        </w:rPr>
        <w:t xml:space="preserve">   </w:t>
      </w:r>
      <w:r w:rsidRPr="00FD2A62">
        <w:rPr>
          <w:rFonts w:ascii="Calibri" w:hAnsi="Calibri" w:cs="Calibri"/>
          <w:b/>
          <w:sz w:val="28"/>
        </w:rPr>
        <w:t xml:space="preserve">      Document </w:t>
      </w:r>
      <w:r>
        <w:rPr>
          <w:rFonts w:ascii="Calibri" w:hAnsi="Calibri" w:cs="Calibri"/>
          <w:b/>
          <w:sz w:val="28"/>
        </w:rPr>
        <w:t>Reference C12</w:t>
      </w:r>
      <w:r w:rsidR="000A0AF0">
        <w:rPr>
          <w:rFonts w:ascii="Calibri" w:hAnsi="Calibri" w:cs="Calibri"/>
          <w:b/>
          <w:sz w:val="28"/>
        </w:rPr>
        <w:t>.1</w:t>
      </w:r>
    </w:p>
    <w:p w:rsidR="003D2CCD" w:rsidRDefault="003D2CCD" w:rsidP="003D2C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prevention of accidental releases from the activity </w:t>
      </w:r>
      <w:r w:rsidR="00992E6A">
        <w:rPr>
          <w:sz w:val="22"/>
          <w:szCs w:val="22"/>
        </w:rPr>
        <w:t>is</w:t>
      </w:r>
      <w:r>
        <w:rPr>
          <w:sz w:val="22"/>
          <w:szCs w:val="22"/>
        </w:rPr>
        <w:t xml:space="preserve"> achieved through good management and handling techniques, principally to avoid leaks and spills of preservative materials, and by maintaining a good level of housekeeping. </w:t>
      </w:r>
    </w:p>
    <w:p w:rsidR="006C7D0C" w:rsidRDefault="006C7D0C" w:rsidP="003D2CCD">
      <w:pPr>
        <w:pStyle w:val="Default"/>
        <w:rPr>
          <w:sz w:val="22"/>
          <w:szCs w:val="22"/>
        </w:rPr>
      </w:pPr>
    </w:p>
    <w:p w:rsidR="006C7D0C" w:rsidRDefault="006C7D0C" w:rsidP="006C7D0C">
      <w:r>
        <w:t>Possible accidental releases from the installation, in terms of the nature of these accidental releases, the likely environmental hazard and the subsequent environmental risk are as follows:</w:t>
      </w:r>
    </w:p>
    <w:p w:rsidR="00A77FC4" w:rsidRDefault="000A0AF0"/>
    <w:tbl>
      <w:tblPr>
        <w:tblW w:w="991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2669"/>
        <w:gridCol w:w="3316"/>
        <w:gridCol w:w="1362"/>
      </w:tblGrid>
      <w:tr w:rsidR="003D2CCD" w:rsidRPr="00A666D3" w:rsidTr="00754752">
        <w:trPr>
          <w:trHeight w:val="420"/>
          <w:jc w:val="center"/>
        </w:trPr>
        <w:tc>
          <w:tcPr>
            <w:tcW w:w="2571" w:type="dxa"/>
            <w:shd w:val="clear" w:color="auto" w:fill="000000" w:themeFill="text1"/>
          </w:tcPr>
          <w:p w:rsidR="003D2CCD" w:rsidRPr="00831309" w:rsidRDefault="003D2CCD" w:rsidP="0048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83130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Foreseeable emissions </w:t>
            </w:r>
          </w:p>
        </w:tc>
        <w:tc>
          <w:tcPr>
            <w:tcW w:w="2669" w:type="dxa"/>
            <w:shd w:val="clear" w:color="auto" w:fill="000000" w:themeFill="text1"/>
          </w:tcPr>
          <w:p w:rsidR="003D2CCD" w:rsidRPr="00831309" w:rsidRDefault="003D2CCD" w:rsidP="0048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83130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Likelihood of occurrence </w:t>
            </w:r>
          </w:p>
        </w:tc>
        <w:tc>
          <w:tcPr>
            <w:tcW w:w="3316" w:type="dxa"/>
            <w:shd w:val="clear" w:color="auto" w:fill="000000" w:themeFill="text1"/>
          </w:tcPr>
          <w:p w:rsidR="003D2CCD" w:rsidRPr="00831309" w:rsidRDefault="003D2CCD" w:rsidP="0048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83130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Severity of impact </w:t>
            </w:r>
          </w:p>
        </w:tc>
        <w:tc>
          <w:tcPr>
            <w:tcW w:w="1362" w:type="dxa"/>
            <w:shd w:val="clear" w:color="auto" w:fill="000000" w:themeFill="text1"/>
          </w:tcPr>
          <w:p w:rsidR="003D2CCD" w:rsidRPr="00831309" w:rsidRDefault="003D2CCD" w:rsidP="00485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83130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Risk score </w:t>
            </w:r>
          </w:p>
        </w:tc>
      </w:tr>
      <w:tr w:rsidR="003D2CCD" w:rsidRPr="00A666D3" w:rsidTr="003546F5">
        <w:trPr>
          <w:trHeight w:val="335"/>
          <w:jc w:val="center"/>
        </w:trPr>
        <w:tc>
          <w:tcPr>
            <w:tcW w:w="2571" w:type="dxa"/>
            <w:shd w:val="clear" w:color="auto" w:fill="BFBFBF" w:themeFill="background1" w:themeFillShade="BF"/>
          </w:tcPr>
          <w:p w:rsidR="003D2CCD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Preservative leak from high pressure treatment vessel</w:t>
            </w:r>
          </w:p>
        </w:tc>
        <w:tc>
          <w:tcPr>
            <w:tcW w:w="2669" w:type="dxa"/>
            <w:shd w:val="clear" w:color="auto" w:fill="BFBFBF" w:themeFill="background1" w:themeFillShade="BF"/>
          </w:tcPr>
          <w:p w:rsidR="003D2CCD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Possible</w:t>
            </w:r>
          </w:p>
          <w:p w:rsidR="003D2CCD" w:rsidRPr="003D2CCD" w:rsidRDefault="003D2CCD" w:rsidP="003D2CC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35" w:hanging="425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Vessel is maintained in good condition</w:t>
            </w:r>
          </w:p>
        </w:tc>
        <w:tc>
          <w:tcPr>
            <w:tcW w:w="3316" w:type="dxa"/>
            <w:shd w:val="clear" w:color="auto" w:fill="BFBFBF" w:themeFill="background1" w:themeFillShade="BF"/>
          </w:tcPr>
          <w:p w:rsidR="003D2CCD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Low</w:t>
            </w:r>
          </w:p>
          <w:p w:rsidR="003D2CCD" w:rsidRDefault="00A90B73" w:rsidP="003D2CC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9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Concrete</w:t>
            </w:r>
            <w:r w:rsidR="00A109B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bund will provide sufficient containment</w:t>
            </w:r>
          </w:p>
          <w:p w:rsidR="00A109BF" w:rsidRPr="00A109BF" w:rsidRDefault="00A109BF" w:rsidP="00A109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92D050"/>
            <w:vAlign w:val="center"/>
          </w:tcPr>
          <w:p w:rsidR="003D2CCD" w:rsidRDefault="00A109BF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1 </w:t>
            </w:r>
          </w:p>
          <w:p w:rsidR="00A109BF" w:rsidRDefault="00A109BF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Trivial</w:t>
            </w:r>
          </w:p>
          <w:p w:rsidR="00A109BF" w:rsidRDefault="00A109BF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3D2CCD" w:rsidRPr="009D6A7C" w:rsidTr="00754752">
        <w:trPr>
          <w:trHeight w:val="335"/>
          <w:jc w:val="center"/>
        </w:trPr>
        <w:tc>
          <w:tcPr>
            <w:tcW w:w="2571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Additive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spillage during IBC delivery </w:t>
            </w:r>
          </w:p>
        </w:tc>
        <w:tc>
          <w:tcPr>
            <w:tcW w:w="2669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Possible </w:t>
            </w:r>
          </w:p>
          <w:p w:rsidR="003D2CCD" w:rsidRDefault="003D2CCD" w:rsidP="003D2CC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15A">
              <w:rPr>
                <w:rFonts w:ascii="Calibri" w:hAnsi="Calibri" w:cs="Calibri"/>
                <w:color w:val="000000"/>
                <w:sz w:val="18"/>
                <w:szCs w:val="18"/>
              </w:rPr>
              <w:t>IBCs are sealed and robust.</w:t>
            </w:r>
          </w:p>
          <w:p w:rsidR="003D2CCD" w:rsidRPr="00C3015A" w:rsidRDefault="003D2CCD" w:rsidP="003D2CC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IBCs are sited </w:t>
            </w:r>
            <w:r w:rsidR="00A90B7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adjacent to the </w:t>
            </w:r>
            <w:r w:rsidRPr="00C301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containment bund </w:t>
            </w:r>
          </w:p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Medium</w:t>
            </w:r>
          </w:p>
          <w:p w:rsidR="003D2CCD" w:rsidRPr="00B1373C" w:rsidRDefault="003D2CCD" w:rsidP="00B137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63" w:hanging="28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015A">
              <w:rPr>
                <w:rFonts w:ascii="Calibri" w:hAnsi="Calibri" w:cs="Calibri"/>
                <w:color w:val="000000"/>
                <w:sz w:val="18"/>
                <w:szCs w:val="18"/>
              </w:rPr>
              <w:t>Leak will be contained in spill containment bund and the main plant bund forms a back up to this.</w:t>
            </w:r>
          </w:p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FFFF00"/>
            <w:vAlign w:val="center"/>
          </w:tcPr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Generally Acceptable</w:t>
            </w:r>
          </w:p>
        </w:tc>
      </w:tr>
      <w:tr w:rsidR="003D2CCD" w:rsidRPr="00A666D3" w:rsidTr="00754752">
        <w:trPr>
          <w:trHeight w:val="666"/>
          <w:jc w:val="center"/>
        </w:trPr>
        <w:tc>
          <w:tcPr>
            <w:tcW w:w="2571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Preservative spillage during bulk tanker delivery </w:t>
            </w:r>
          </w:p>
        </w:tc>
        <w:tc>
          <w:tcPr>
            <w:tcW w:w="2669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Possible </w:t>
            </w:r>
          </w:p>
          <w:p w:rsidR="003D2CCD" w:rsidRPr="00CA5D18" w:rsidRDefault="003D2CCD" w:rsidP="003D2C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99" w:hanging="28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Delivery point and connections are </w:t>
            </w:r>
            <w:r w:rsidR="0007669C">
              <w:rPr>
                <w:rFonts w:ascii="Calibri" w:hAnsi="Calibri" w:cs="Calibri"/>
                <w:color w:val="000000"/>
                <w:sz w:val="18"/>
                <w:szCs w:val="18"/>
              </w:rPr>
              <w:t>situated in an area that drains back to the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containment bund </w:t>
            </w:r>
          </w:p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High </w:t>
            </w:r>
          </w:p>
          <w:p w:rsidR="003D2CCD" w:rsidRPr="00CA5D18" w:rsidRDefault="003D2CCD" w:rsidP="003D2C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63" w:hanging="28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Larger quantities involved. </w:t>
            </w:r>
          </w:p>
          <w:p w:rsidR="003D2CCD" w:rsidRPr="00CA5D18" w:rsidRDefault="0007669C" w:rsidP="003D2C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63" w:hanging="28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Low probability of reaching</w:t>
            </w:r>
            <w:r w:rsidR="003D2C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drains as the connections will be in the plant area</w:t>
            </w:r>
            <w:r w:rsidR="003D2CCD"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</w:p>
          <w:p w:rsidR="003D2CCD" w:rsidRPr="00CA5D18" w:rsidRDefault="003D2CCD" w:rsidP="003D2C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FFC000"/>
            <w:vAlign w:val="center"/>
          </w:tcPr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74AA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</w:t>
            </w:r>
          </w:p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74AA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Moderate</w:t>
            </w:r>
          </w:p>
        </w:tc>
      </w:tr>
      <w:tr w:rsidR="003D2CCD" w:rsidRPr="00A666D3" w:rsidTr="00754752">
        <w:trPr>
          <w:trHeight w:val="337"/>
          <w:jc w:val="center"/>
        </w:trPr>
        <w:tc>
          <w:tcPr>
            <w:tcW w:w="2571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Additiv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 leak during IBC storage </w:t>
            </w:r>
          </w:p>
        </w:tc>
        <w:tc>
          <w:tcPr>
            <w:tcW w:w="2669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Possible </w:t>
            </w:r>
          </w:p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Wingdings" w:hAnsi="Wingdings" w:cs="Wingdings"/>
                <w:color w:val="000000"/>
                <w:sz w:val="18"/>
                <w:szCs w:val="18"/>
              </w:rPr>
              <w:t></w:t>
            </w:r>
            <w:r w:rsidRPr="00CA5D18">
              <w:rPr>
                <w:rFonts w:ascii="Wingdings" w:hAnsi="Wingdings" w:cs="Wingdings"/>
                <w:color w:val="000000"/>
                <w:sz w:val="18"/>
                <w:szCs w:val="18"/>
              </w:rPr>
              <w:t>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IBCs are sealed and robust. </w:t>
            </w:r>
          </w:p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Low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3D2CCD" w:rsidRDefault="003D2CCD" w:rsidP="003D2C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IBCs stored within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bunded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area.</w:t>
            </w:r>
          </w:p>
          <w:p w:rsidR="003D2CCD" w:rsidRPr="00CA5D18" w:rsidRDefault="003D2CCD" w:rsidP="0007669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FFFFFF" w:themeColor="background1"/>
            </w:tcBorders>
            <w:shd w:val="clear" w:color="auto" w:fill="92D050"/>
            <w:vAlign w:val="center"/>
          </w:tcPr>
          <w:p w:rsidR="003D2CCD" w:rsidRPr="0017004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700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  <w:p w:rsidR="003D2CCD" w:rsidRPr="003D2CCD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</w:pPr>
            <w:r w:rsidRPr="001700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Trivial</w:t>
            </w:r>
          </w:p>
        </w:tc>
      </w:tr>
      <w:tr w:rsidR="003D2CCD" w:rsidRPr="00A666D3" w:rsidTr="00754752">
        <w:trPr>
          <w:trHeight w:val="666"/>
          <w:jc w:val="center"/>
        </w:trPr>
        <w:tc>
          <w:tcPr>
            <w:tcW w:w="2571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Preservative leak from bulk storage </w:t>
            </w:r>
          </w:p>
        </w:tc>
        <w:tc>
          <w:tcPr>
            <w:tcW w:w="2669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Possible </w:t>
            </w:r>
          </w:p>
          <w:p w:rsidR="003D2CCD" w:rsidRPr="00CA5D18" w:rsidRDefault="0007669C" w:rsidP="003D2C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9" w:hanging="28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Storage tanks is double</w:t>
            </w:r>
            <w:r w:rsidR="003D2CCD"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skin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and drains back to containment bund.</w:t>
            </w:r>
          </w:p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Low</w:t>
            </w:r>
          </w:p>
          <w:p w:rsidR="003D2CCD" w:rsidRPr="00CA5D18" w:rsidRDefault="003D2CCD" w:rsidP="003D2C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63" w:hanging="28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Capacity of bund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sufficient to hold all storage tanks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</w:p>
          <w:p w:rsidR="003D2CCD" w:rsidRPr="00BF1B67" w:rsidRDefault="003D2CCD" w:rsidP="0007669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92D050"/>
            <w:vAlign w:val="center"/>
          </w:tcPr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74AA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74AA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Trivial</w:t>
            </w:r>
          </w:p>
        </w:tc>
      </w:tr>
      <w:tr w:rsidR="003D2CCD" w:rsidRPr="00A666D3" w:rsidTr="00754752">
        <w:trPr>
          <w:trHeight w:val="556"/>
          <w:jc w:val="center"/>
        </w:trPr>
        <w:tc>
          <w:tcPr>
            <w:tcW w:w="2571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Preservative drag-out from contained area on forklift wheels </w:t>
            </w:r>
          </w:p>
        </w:tc>
        <w:tc>
          <w:tcPr>
            <w:tcW w:w="2669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Likely </w:t>
            </w:r>
          </w:p>
          <w:p w:rsidR="003D2CCD" w:rsidRPr="00CA5D18" w:rsidRDefault="003D2CCD" w:rsidP="003D2CC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99" w:hanging="28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Fork truck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not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fully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dedicated to timber treatment area. </w:t>
            </w:r>
          </w:p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Low </w:t>
            </w:r>
          </w:p>
          <w:p w:rsidR="003D2CCD" w:rsidRPr="006064FA" w:rsidRDefault="003D2CCD" w:rsidP="003D2CC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>Very small quantity of contamination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likely to be moved on vehicle wheels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Data from other sites have shown no actives detected from modern preservatives.</w:t>
            </w: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shd w:val="clear" w:color="auto" w:fill="FFFF00"/>
            <w:vAlign w:val="center"/>
          </w:tcPr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Generally Acceptable</w:t>
            </w:r>
          </w:p>
        </w:tc>
      </w:tr>
      <w:tr w:rsidR="003D2CCD" w:rsidRPr="00A666D3" w:rsidTr="00754752">
        <w:trPr>
          <w:trHeight w:val="556"/>
          <w:jc w:val="center"/>
        </w:trPr>
        <w:tc>
          <w:tcPr>
            <w:tcW w:w="2571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Preservative dripping from treated timber outside containment area </w:t>
            </w:r>
          </w:p>
        </w:tc>
        <w:tc>
          <w:tcPr>
            <w:tcW w:w="2669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Possible</w:t>
            </w:r>
          </w:p>
          <w:p w:rsidR="003D2CCD" w:rsidRPr="00CA5D18" w:rsidRDefault="003D2CCD" w:rsidP="003D2CC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99" w:hanging="28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Treated timber overhanging containment area. </w:t>
            </w:r>
          </w:p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BFBFBF" w:themeFill="background1" w:themeFillShade="BF"/>
          </w:tcPr>
          <w:p w:rsidR="003D2CCD" w:rsidRPr="00CA5D18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Medium </w:t>
            </w:r>
          </w:p>
          <w:p w:rsidR="003D2CCD" w:rsidRDefault="003D2CCD" w:rsidP="003D2C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D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Small quantity of contamination. </w:t>
            </w:r>
          </w:p>
          <w:p w:rsidR="003D2CCD" w:rsidRPr="0007669C" w:rsidRDefault="003D2CCD" w:rsidP="0007669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All storage is within contained area so very low probability</w:t>
            </w:r>
          </w:p>
        </w:tc>
        <w:tc>
          <w:tcPr>
            <w:tcW w:w="1362" w:type="dxa"/>
            <w:shd w:val="clear" w:color="auto" w:fill="FFFF00"/>
            <w:vAlign w:val="center"/>
          </w:tcPr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  <w:p w:rsidR="003D2CCD" w:rsidRPr="00F74AAB" w:rsidRDefault="003D2CCD" w:rsidP="003D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Generally Acceptable</w:t>
            </w:r>
          </w:p>
        </w:tc>
      </w:tr>
    </w:tbl>
    <w:p w:rsidR="003D2CCD" w:rsidRDefault="003D2CCD" w:rsidP="003D2CCD">
      <w:pPr>
        <w:pStyle w:val="Default"/>
        <w:rPr>
          <w:sz w:val="22"/>
          <w:szCs w:val="22"/>
        </w:rPr>
      </w:pPr>
    </w:p>
    <w:p w:rsidR="003D2CCD" w:rsidRDefault="003D2CCD" w:rsidP="003D2C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combination of plant maintenance, good management and handling practices c</w:t>
      </w:r>
      <w:r w:rsidR="00AA434E">
        <w:rPr>
          <w:sz w:val="22"/>
          <w:szCs w:val="22"/>
        </w:rPr>
        <w:t>oupled</w:t>
      </w:r>
      <w:r>
        <w:rPr>
          <w:sz w:val="22"/>
          <w:szCs w:val="22"/>
        </w:rPr>
        <w:t xml:space="preserve"> will ensure that the risk of the environmental hazards actually occurring through unforeseen or uncontrolled emissions remain as low as possible. </w:t>
      </w:r>
    </w:p>
    <w:p w:rsidR="003D2CCD" w:rsidRDefault="003D2CCD"/>
    <w:sectPr w:rsidR="003D2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3CDE"/>
    <w:multiLevelType w:val="hybridMultilevel"/>
    <w:tmpl w:val="D518B018"/>
    <w:lvl w:ilvl="0" w:tplc="9738C2EA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42C3BE1"/>
    <w:multiLevelType w:val="hybridMultilevel"/>
    <w:tmpl w:val="2F18087E"/>
    <w:lvl w:ilvl="0" w:tplc="9738C2EA">
      <w:start w:val="1"/>
      <w:numFmt w:val="bullet"/>
      <w:lvlText w:val=""/>
      <w:lvlJc w:val="left"/>
      <w:pPr>
        <w:ind w:left="786" w:hanging="360"/>
      </w:pPr>
      <w:rPr>
        <w:rFonts w:ascii="Wingdings" w:eastAsiaTheme="minorHAnsi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2AD6"/>
    <w:multiLevelType w:val="hybridMultilevel"/>
    <w:tmpl w:val="056A3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85E6E"/>
    <w:multiLevelType w:val="hybridMultilevel"/>
    <w:tmpl w:val="E76471AA"/>
    <w:lvl w:ilvl="0" w:tplc="9738C2EA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1C9F36A3"/>
    <w:multiLevelType w:val="hybridMultilevel"/>
    <w:tmpl w:val="826276E8"/>
    <w:lvl w:ilvl="0" w:tplc="9738C2EA">
      <w:start w:val="1"/>
      <w:numFmt w:val="bullet"/>
      <w:lvlText w:val=""/>
      <w:lvlJc w:val="left"/>
      <w:pPr>
        <w:ind w:left="786" w:hanging="360"/>
      </w:pPr>
      <w:rPr>
        <w:rFonts w:ascii="Wingdings" w:eastAsiaTheme="minorHAnsi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05B55"/>
    <w:multiLevelType w:val="hybridMultilevel"/>
    <w:tmpl w:val="142AFCCC"/>
    <w:lvl w:ilvl="0" w:tplc="9738C2EA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267D3661"/>
    <w:multiLevelType w:val="hybridMultilevel"/>
    <w:tmpl w:val="F5D82534"/>
    <w:lvl w:ilvl="0" w:tplc="9738C2EA">
      <w:start w:val="1"/>
      <w:numFmt w:val="bullet"/>
      <w:lvlText w:val=""/>
      <w:lvlJc w:val="left"/>
      <w:pPr>
        <w:ind w:left="786" w:hanging="360"/>
      </w:pPr>
      <w:rPr>
        <w:rFonts w:ascii="Wingdings" w:eastAsiaTheme="minorHAnsi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A5110"/>
    <w:multiLevelType w:val="hybridMultilevel"/>
    <w:tmpl w:val="1B284142"/>
    <w:lvl w:ilvl="0" w:tplc="9738C2EA">
      <w:start w:val="1"/>
      <w:numFmt w:val="bullet"/>
      <w:lvlText w:val=""/>
      <w:lvlJc w:val="left"/>
      <w:pPr>
        <w:ind w:left="802" w:hanging="360"/>
      </w:pPr>
      <w:rPr>
        <w:rFonts w:ascii="Wingdings" w:eastAsiaTheme="minorHAnsi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8">
    <w:nsid w:val="60671AB6"/>
    <w:multiLevelType w:val="hybridMultilevel"/>
    <w:tmpl w:val="F3B274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559E4"/>
    <w:multiLevelType w:val="hybridMultilevel"/>
    <w:tmpl w:val="B28E774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CD"/>
    <w:rsid w:val="0007669C"/>
    <w:rsid w:val="000A0AF0"/>
    <w:rsid w:val="00170048"/>
    <w:rsid w:val="003546F5"/>
    <w:rsid w:val="003D2CCD"/>
    <w:rsid w:val="006C7D0C"/>
    <w:rsid w:val="00754752"/>
    <w:rsid w:val="00992E6A"/>
    <w:rsid w:val="009D6A7C"/>
    <w:rsid w:val="00A109BF"/>
    <w:rsid w:val="00A90B73"/>
    <w:rsid w:val="00AA434E"/>
    <w:rsid w:val="00B1373C"/>
    <w:rsid w:val="00E548FA"/>
    <w:rsid w:val="00F1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19DB4-40F1-43F3-B729-9756CF31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C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CCD"/>
    <w:pPr>
      <w:ind w:left="720"/>
      <w:contextualSpacing/>
    </w:pPr>
  </w:style>
  <w:style w:type="table" w:styleId="TableGrid">
    <w:name w:val="Table Grid"/>
    <w:basedOn w:val="TableNormal"/>
    <w:uiPriority w:val="59"/>
    <w:rsid w:val="003D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Wilkinson</dc:creator>
  <cp:keywords/>
  <dc:description/>
  <cp:lastModifiedBy>Phil Wilkinson</cp:lastModifiedBy>
  <cp:revision>12</cp:revision>
  <dcterms:created xsi:type="dcterms:W3CDTF">2015-01-22T15:21:00Z</dcterms:created>
  <dcterms:modified xsi:type="dcterms:W3CDTF">2015-01-23T12:23:00Z</dcterms:modified>
</cp:coreProperties>
</file>